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ECE" w:rsidRPr="004C533B" w:rsidRDefault="00055ECE" w:rsidP="004C533B">
      <w:pPr>
        <w:spacing w:line="240" w:lineRule="exact"/>
        <w:rPr>
          <w:rFonts w:ascii="微软雅黑" w:eastAsia="微软雅黑" w:hAnsi="微软雅黑" w:cs="宋体" w:hint="eastAsia"/>
          <w:sz w:val="22"/>
          <w:szCs w:val="22"/>
        </w:rPr>
      </w:pPr>
    </w:p>
    <w:p w:rsidR="00055ECE" w:rsidRPr="004C533B" w:rsidRDefault="00801545" w:rsidP="004C533B">
      <w:pPr>
        <w:widowControl/>
        <w:spacing w:line="600" w:lineRule="exact"/>
        <w:jc w:val="center"/>
        <w:rPr>
          <w:rFonts w:ascii="微软雅黑" w:eastAsia="微软雅黑" w:hAnsi="微软雅黑" w:cs="CESI小标宋-GB18030"/>
          <w:b/>
          <w:bCs/>
          <w:color w:val="7030A0"/>
          <w:sz w:val="40"/>
          <w:szCs w:val="40"/>
          <w:shd w:val="clear" w:color="auto" w:fill="FFFFFF"/>
        </w:rPr>
      </w:pPr>
      <w:r w:rsidRPr="004C533B">
        <w:rPr>
          <w:rFonts w:ascii="微软雅黑" w:eastAsia="微软雅黑" w:hAnsi="微软雅黑" w:cs="方正小标宋简体" w:hint="eastAsia"/>
          <w:b/>
          <w:bCs/>
          <w:color w:val="7030A0"/>
          <w:sz w:val="40"/>
          <w:szCs w:val="40"/>
          <w:shd w:val="clear" w:color="auto" w:fill="FFFFFF"/>
        </w:rPr>
        <w:t>最高人民法院</w:t>
      </w:r>
      <w:r w:rsidRPr="004C533B">
        <w:rPr>
          <w:rFonts w:ascii="微软雅黑" w:eastAsia="微软雅黑" w:hAnsi="微软雅黑" w:cs="方正小标宋简体" w:hint="eastAsia"/>
          <w:b/>
          <w:bCs/>
          <w:color w:val="7030A0"/>
          <w:sz w:val="40"/>
          <w:szCs w:val="40"/>
          <w:shd w:val="clear" w:color="auto" w:fill="FFFFFF"/>
        </w:rPr>
        <w:br/>
      </w:r>
      <w:r w:rsidRPr="004C533B">
        <w:rPr>
          <w:rFonts w:ascii="微软雅黑" w:eastAsia="微软雅黑" w:hAnsi="微软雅黑" w:cs="方正小标宋简体" w:hint="eastAsia"/>
          <w:b/>
          <w:bCs/>
          <w:color w:val="7030A0"/>
          <w:sz w:val="40"/>
          <w:szCs w:val="40"/>
          <w:shd w:val="clear" w:color="auto" w:fill="FFFFFF"/>
        </w:rPr>
        <w:t>关于适用《中华人民共和国民法典》</w:t>
      </w:r>
      <w:r w:rsidRPr="004C533B">
        <w:rPr>
          <w:rFonts w:ascii="微软雅黑" w:eastAsia="微软雅黑" w:hAnsi="微软雅黑" w:cs="方正小标宋简体" w:hint="eastAsia"/>
          <w:b/>
          <w:bCs/>
          <w:color w:val="7030A0"/>
          <w:sz w:val="40"/>
          <w:szCs w:val="40"/>
          <w:shd w:val="clear" w:color="auto" w:fill="FFFFFF"/>
        </w:rPr>
        <w:t>侵权责任编的解释（一）</w:t>
      </w:r>
    </w:p>
    <w:p w:rsidR="00055ECE" w:rsidRDefault="00055ECE" w:rsidP="004C533B">
      <w:pPr>
        <w:spacing w:line="240" w:lineRule="exact"/>
        <w:rPr>
          <w:rFonts w:ascii="微软雅黑" w:eastAsia="微软雅黑" w:hAnsi="微软雅黑" w:cs="宋体"/>
          <w:sz w:val="22"/>
          <w:szCs w:val="22"/>
        </w:rPr>
      </w:pPr>
    </w:p>
    <w:p w:rsidR="004C533B" w:rsidRDefault="004C533B" w:rsidP="004C533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2024-09-27</w:t>
      </w:r>
    </w:p>
    <w:p w:rsidR="004C533B" w:rsidRPr="004C533B" w:rsidRDefault="004C533B" w:rsidP="004C533B">
      <w:pPr>
        <w:spacing w:line="240" w:lineRule="exact"/>
        <w:rPr>
          <w:rFonts w:ascii="微软雅黑" w:eastAsia="微软雅黑" w:hAnsi="微软雅黑" w:cs="宋体" w:hint="eastAsia"/>
          <w:sz w:val="22"/>
          <w:szCs w:val="22"/>
        </w:rPr>
      </w:pPr>
    </w:p>
    <w:p w:rsidR="00055ECE" w:rsidRPr="004C533B" w:rsidRDefault="00801545" w:rsidP="004C533B">
      <w:pPr>
        <w:spacing w:line="240" w:lineRule="exact"/>
        <w:jc w:val="center"/>
        <w:rPr>
          <w:rFonts w:ascii="微软雅黑" w:eastAsia="微软雅黑" w:hAnsi="微软雅黑" w:cs="仿宋_GB2312"/>
          <w:sz w:val="22"/>
          <w:szCs w:val="22"/>
        </w:rPr>
      </w:pPr>
      <w:r w:rsidRPr="004C533B">
        <w:rPr>
          <w:rFonts w:ascii="微软雅黑" w:eastAsia="微软雅黑" w:hAnsi="微软雅黑" w:cs="仿宋_GB2312" w:hint="eastAsia"/>
          <w:sz w:val="22"/>
          <w:szCs w:val="22"/>
        </w:rPr>
        <w:t>法释〔</w:t>
      </w:r>
      <w:r w:rsidRPr="004C533B">
        <w:rPr>
          <w:rFonts w:ascii="微软雅黑" w:eastAsia="微软雅黑" w:hAnsi="微软雅黑" w:cs="仿宋_GB2312" w:hint="eastAsia"/>
          <w:sz w:val="22"/>
          <w:szCs w:val="22"/>
        </w:rPr>
        <w:t>2024</w:t>
      </w:r>
      <w:r w:rsidRPr="004C533B">
        <w:rPr>
          <w:rFonts w:ascii="微软雅黑" w:eastAsia="微软雅黑" w:hAnsi="微软雅黑" w:cs="仿宋_GB2312" w:hint="eastAsia"/>
          <w:sz w:val="22"/>
          <w:szCs w:val="22"/>
        </w:rPr>
        <w:t>〕</w:t>
      </w:r>
      <w:r w:rsidRPr="004C533B">
        <w:rPr>
          <w:rFonts w:ascii="微软雅黑" w:eastAsia="微软雅黑" w:hAnsi="微软雅黑" w:cs="仿宋_GB2312" w:hint="eastAsia"/>
          <w:sz w:val="22"/>
          <w:szCs w:val="22"/>
        </w:rPr>
        <w:t>12</w:t>
      </w:r>
      <w:r w:rsidRPr="004C533B">
        <w:rPr>
          <w:rFonts w:ascii="微软雅黑" w:eastAsia="微软雅黑" w:hAnsi="微软雅黑" w:cs="仿宋_GB2312" w:hint="eastAsia"/>
          <w:sz w:val="22"/>
          <w:szCs w:val="22"/>
        </w:rPr>
        <w:t>号</w:t>
      </w:r>
      <w:bookmarkStart w:id="0" w:name="_GoBack"/>
      <w:bookmarkEnd w:id="0"/>
    </w:p>
    <w:p w:rsidR="00055ECE" w:rsidRPr="004C533B" w:rsidRDefault="00055ECE" w:rsidP="004C533B">
      <w:pPr>
        <w:spacing w:line="240" w:lineRule="exact"/>
        <w:rPr>
          <w:rFonts w:ascii="微软雅黑" w:eastAsia="微软雅黑" w:hAnsi="微软雅黑" w:cs="宋体"/>
          <w:sz w:val="22"/>
          <w:szCs w:val="22"/>
        </w:rPr>
      </w:pPr>
    </w:p>
    <w:p w:rsidR="00055ECE" w:rsidRPr="004C533B" w:rsidRDefault="00801545" w:rsidP="004C533B">
      <w:pPr>
        <w:widowControl/>
        <w:spacing w:line="240" w:lineRule="exact"/>
        <w:ind w:leftChars="200" w:left="632" w:rightChars="200" w:right="632"/>
        <w:jc w:val="center"/>
        <w:rPr>
          <w:rFonts w:ascii="微软雅黑" w:eastAsia="微软雅黑" w:hAnsi="微软雅黑" w:cs="楷体_GB2312"/>
          <w:bCs/>
          <w:spacing w:val="6"/>
          <w:sz w:val="21"/>
          <w:szCs w:val="21"/>
          <w:shd w:val="clear" w:color="auto" w:fill="FFFFFF"/>
        </w:rPr>
      </w:pPr>
      <w:r w:rsidRPr="004C533B">
        <w:rPr>
          <w:rFonts w:ascii="微软雅黑" w:eastAsia="微软雅黑" w:hAnsi="微软雅黑" w:cs="楷体_GB2312" w:hint="eastAsia"/>
          <w:bCs/>
          <w:sz w:val="21"/>
          <w:szCs w:val="21"/>
          <w:shd w:val="clear" w:color="auto" w:fill="FFFFFF"/>
        </w:rPr>
        <w:t>（</w:t>
      </w:r>
      <w:r w:rsidRPr="004C533B">
        <w:rPr>
          <w:rFonts w:ascii="微软雅黑" w:eastAsia="微软雅黑" w:hAnsi="微软雅黑" w:cs="楷体_GB2312" w:hint="eastAsia"/>
          <w:bCs/>
          <w:sz w:val="21"/>
          <w:szCs w:val="21"/>
          <w:shd w:val="clear" w:color="auto" w:fill="FFFFFF"/>
        </w:rPr>
        <w:t>2023</w:t>
      </w:r>
      <w:r w:rsidRPr="004C533B">
        <w:rPr>
          <w:rFonts w:ascii="微软雅黑" w:eastAsia="微软雅黑" w:hAnsi="微软雅黑" w:cs="楷体_GB2312" w:hint="eastAsia"/>
          <w:bCs/>
          <w:sz w:val="21"/>
          <w:szCs w:val="21"/>
          <w:shd w:val="clear" w:color="auto" w:fill="FFFFFF"/>
        </w:rPr>
        <w:t>年</w:t>
      </w:r>
      <w:r w:rsidRPr="004C533B">
        <w:rPr>
          <w:rFonts w:ascii="微软雅黑" w:eastAsia="微软雅黑" w:hAnsi="微软雅黑" w:cs="楷体_GB2312" w:hint="eastAsia"/>
          <w:bCs/>
          <w:sz w:val="21"/>
          <w:szCs w:val="21"/>
          <w:shd w:val="clear" w:color="auto" w:fill="FFFFFF"/>
        </w:rPr>
        <w:t>12</w:t>
      </w:r>
      <w:r w:rsidRPr="004C533B">
        <w:rPr>
          <w:rFonts w:ascii="微软雅黑" w:eastAsia="微软雅黑" w:hAnsi="微软雅黑" w:cs="楷体_GB2312" w:hint="eastAsia"/>
          <w:bCs/>
          <w:sz w:val="21"/>
          <w:szCs w:val="21"/>
          <w:shd w:val="clear" w:color="auto" w:fill="FFFFFF"/>
        </w:rPr>
        <w:t>月</w:t>
      </w:r>
      <w:r w:rsidRPr="004C533B">
        <w:rPr>
          <w:rFonts w:ascii="微软雅黑" w:eastAsia="微软雅黑" w:hAnsi="微软雅黑" w:cs="楷体_GB2312" w:hint="eastAsia"/>
          <w:bCs/>
          <w:sz w:val="21"/>
          <w:szCs w:val="21"/>
          <w:shd w:val="clear" w:color="auto" w:fill="FFFFFF"/>
        </w:rPr>
        <w:t>18</w:t>
      </w:r>
      <w:r w:rsidRPr="004C533B">
        <w:rPr>
          <w:rFonts w:ascii="微软雅黑" w:eastAsia="微软雅黑" w:hAnsi="微软雅黑" w:cs="楷体_GB2312" w:hint="eastAsia"/>
          <w:bCs/>
          <w:sz w:val="21"/>
          <w:szCs w:val="21"/>
          <w:shd w:val="clear" w:color="auto" w:fill="FFFFFF"/>
        </w:rPr>
        <w:t>日最高人民法院审判委员会第</w:t>
      </w:r>
      <w:r w:rsidRPr="004C533B">
        <w:rPr>
          <w:rFonts w:ascii="微软雅黑" w:eastAsia="微软雅黑" w:hAnsi="微软雅黑" w:cs="楷体_GB2312" w:hint="eastAsia"/>
          <w:bCs/>
          <w:sz w:val="21"/>
          <w:szCs w:val="21"/>
          <w:shd w:val="clear" w:color="auto" w:fill="FFFFFF"/>
        </w:rPr>
        <w:t>1909</w:t>
      </w:r>
      <w:r w:rsidRPr="004C533B">
        <w:rPr>
          <w:rFonts w:ascii="微软雅黑" w:eastAsia="微软雅黑" w:hAnsi="微软雅黑" w:cs="楷体_GB2312" w:hint="eastAsia"/>
          <w:bCs/>
          <w:sz w:val="21"/>
          <w:szCs w:val="21"/>
          <w:shd w:val="clear" w:color="auto" w:fill="FFFFFF"/>
        </w:rPr>
        <w:t>次会议通过，自</w:t>
      </w:r>
      <w:r w:rsidRPr="004C533B">
        <w:rPr>
          <w:rFonts w:ascii="微软雅黑" w:eastAsia="微软雅黑" w:hAnsi="微软雅黑" w:cs="楷体_GB2312" w:hint="eastAsia"/>
          <w:bCs/>
          <w:sz w:val="21"/>
          <w:szCs w:val="21"/>
          <w:shd w:val="clear" w:color="auto" w:fill="FFFFFF"/>
        </w:rPr>
        <w:t>2024</w:t>
      </w:r>
      <w:r w:rsidRPr="004C533B">
        <w:rPr>
          <w:rFonts w:ascii="微软雅黑" w:eastAsia="微软雅黑" w:hAnsi="微软雅黑" w:cs="楷体_GB2312" w:hint="eastAsia"/>
          <w:bCs/>
          <w:sz w:val="21"/>
          <w:szCs w:val="21"/>
          <w:shd w:val="clear" w:color="auto" w:fill="FFFFFF"/>
        </w:rPr>
        <w:t>年</w:t>
      </w:r>
      <w:r w:rsidRPr="004C533B">
        <w:rPr>
          <w:rFonts w:ascii="微软雅黑" w:eastAsia="微软雅黑" w:hAnsi="微软雅黑" w:cs="楷体_GB2312" w:hint="eastAsia"/>
          <w:bCs/>
          <w:sz w:val="21"/>
          <w:szCs w:val="21"/>
          <w:shd w:val="clear" w:color="auto" w:fill="FFFFFF"/>
        </w:rPr>
        <w:t>9</w:t>
      </w:r>
      <w:r w:rsidRPr="004C533B">
        <w:rPr>
          <w:rFonts w:ascii="微软雅黑" w:eastAsia="微软雅黑" w:hAnsi="微软雅黑" w:cs="楷体_GB2312" w:hint="eastAsia"/>
          <w:bCs/>
          <w:sz w:val="21"/>
          <w:szCs w:val="21"/>
          <w:shd w:val="clear" w:color="auto" w:fill="FFFFFF"/>
        </w:rPr>
        <w:t>月</w:t>
      </w:r>
      <w:r w:rsidRPr="004C533B">
        <w:rPr>
          <w:rFonts w:ascii="微软雅黑" w:eastAsia="微软雅黑" w:hAnsi="微软雅黑" w:cs="楷体_GB2312" w:hint="eastAsia"/>
          <w:bCs/>
          <w:sz w:val="21"/>
          <w:szCs w:val="21"/>
          <w:shd w:val="clear" w:color="auto" w:fill="FFFFFF"/>
        </w:rPr>
        <w:t>27</w:t>
      </w:r>
      <w:r w:rsidRPr="004C533B">
        <w:rPr>
          <w:rFonts w:ascii="微软雅黑" w:eastAsia="微软雅黑" w:hAnsi="微软雅黑" w:cs="楷体_GB2312" w:hint="eastAsia"/>
          <w:bCs/>
          <w:sz w:val="21"/>
          <w:szCs w:val="21"/>
          <w:shd w:val="clear" w:color="auto" w:fill="FFFFFF"/>
        </w:rPr>
        <w:t>日起施行）</w:t>
      </w:r>
    </w:p>
    <w:p w:rsidR="00055ECE" w:rsidRPr="004C533B" w:rsidRDefault="00055ECE" w:rsidP="004C533B">
      <w:pPr>
        <w:spacing w:line="340" w:lineRule="exact"/>
        <w:rPr>
          <w:rFonts w:ascii="微软雅黑" w:eastAsia="微软雅黑" w:hAnsi="微软雅黑" w:cs="宋体"/>
          <w:sz w:val="24"/>
        </w:rPr>
      </w:pP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为正确审理侵权责任纠纷案件，根据《中华人民共和国民法典》、《中华人民共和国民事诉讼法》等法律规定，结合审判实践，制定本解释。</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第一条</w:t>
      </w:r>
      <w:r w:rsidRPr="004C533B">
        <w:rPr>
          <w:rFonts w:ascii="微软雅黑" w:eastAsia="微软雅黑" w:hAnsi="微软雅黑" w:cs="仿宋_GB2312" w:hint="eastAsia"/>
          <w:sz w:val="24"/>
        </w:rPr>
        <w:t xml:space="preserve">　非法使被监护人脱离监护，监护人请求赔偿为恢复监护状态而支出的合理费用等财产损失的，人民法院应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第二条</w:t>
      </w:r>
      <w:r w:rsidRPr="004C533B">
        <w:rPr>
          <w:rFonts w:ascii="微软雅黑" w:eastAsia="微软雅黑" w:hAnsi="微软雅黑" w:cs="仿宋_GB2312" w:hint="eastAsia"/>
          <w:sz w:val="24"/>
        </w:rPr>
        <w:t xml:space="preserve">　非法使被监护人脱离监护，导致父母子女关系或者其他近亲属关系受到严重损害的，应当认定为民法典第一千一百八十三条第一款规定的严重精神损害。</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第三条</w:t>
      </w:r>
      <w:r w:rsidRPr="004C533B">
        <w:rPr>
          <w:rFonts w:ascii="微软雅黑" w:eastAsia="微软雅黑" w:hAnsi="微软雅黑" w:cs="仿宋_GB2312" w:hint="eastAsia"/>
          <w:sz w:val="24"/>
        </w:rPr>
        <w:t xml:space="preserve">　非法使被监护人脱离监护，被监护人在脱离监护期间死亡，作为近亲属的监护人既请求赔偿人身损害，又请求赔偿监护关系受侵害产生的损失的，人民法院依法予以支持。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第四条</w:t>
      </w:r>
      <w:r w:rsidRPr="004C533B">
        <w:rPr>
          <w:rFonts w:ascii="微软雅黑" w:eastAsia="微软雅黑" w:hAnsi="微软雅黑" w:cs="仿宋_GB2312" w:hint="eastAsia"/>
          <w:sz w:val="24"/>
        </w:rPr>
        <w:t xml:space="preserve">　无民事行为能力人、限制民事行为能力人造成他人损害，被侵权人请求监护人承担侵权责任，或者合并请求监</w:t>
      </w:r>
      <w:r w:rsidRPr="004C533B">
        <w:rPr>
          <w:rFonts w:ascii="微软雅黑" w:eastAsia="微软雅黑" w:hAnsi="微软雅黑" w:cs="仿宋_GB2312" w:hint="eastAsia"/>
          <w:sz w:val="24"/>
        </w:rPr>
        <w:t>护人和受托履行监护职责的人承担侵权责任的，人民法院应当将无民事行为能力人、限制民事行为能力人列为共同被告。</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第五条</w:t>
      </w:r>
      <w:r w:rsidRPr="004C533B">
        <w:rPr>
          <w:rFonts w:ascii="微软雅黑" w:eastAsia="微软雅黑" w:hAnsi="微软雅黑" w:cs="仿宋_GB2312" w:hint="eastAsia"/>
          <w:sz w:val="24"/>
        </w:rPr>
        <w:t xml:space="preserve">　无民事行为能力人、限制民事行为能力人造成他人损害，被侵权人请求监护人承担侵权人应承担的全部责任的，人民法院应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持，并在判决中明确，赔偿费用可以先从被监护人财产中支付，不足部分由监护人支付。</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监护人抗辩主张承担补充责任，或者被侵权人、监护人主张人民法院判令有财产的无民事行为能力人、限制民事行为能力人承担赔偿责任的，人民法院不予支持。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从被监护人财产中支付赔偿费用的，应当保留被监护人所必需的生活</w:t>
      </w:r>
      <w:r w:rsidRPr="004C533B">
        <w:rPr>
          <w:rFonts w:ascii="微软雅黑" w:eastAsia="微软雅黑" w:hAnsi="微软雅黑" w:cs="仿宋_GB2312" w:hint="eastAsia"/>
          <w:sz w:val="24"/>
        </w:rPr>
        <w:t>费和完成义务教育所必需的费用。</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第六条</w:t>
      </w:r>
      <w:r w:rsidRPr="004C533B">
        <w:rPr>
          <w:rFonts w:ascii="微软雅黑" w:eastAsia="微软雅黑" w:hAnsi="微软雅黑" w:cs="仿宋_GB2312" w:hint="eastAsia"/>
          <w:sz w:val="24"/>
        </w:rPr>
        <w:t xml:space="preserve">　行为人在侵权行为发生时不满十八周岁，被诉时已满十八周岁的，被侵权人请求原监护人承担侵权人应承担的全部责任的，人民法院应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持，并在判决中明确，赔偿费用可以先从被监护人财产中支付，不足部分由监护人支付。</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前款规定情形，被侵权人仅起诉行为人的，人民法院应当向原告释明申请追加原监护人为共同被告。</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第七条</w:t>
      </w:r>
      <w:r w:rsidRPr="004C533B">
        <w:rPr>
          <w:rFonts w:ascii="微软雅黑" w:eastAsia="微软雅黑" w:hAnsi="微软雅黑" w:cs="仿宋_GB2312" w:hint="eastAsia"/>
          <w:sz w:val="24"/>
        </w:rPr>
        <w:t xml:space="preserve">　未成年子女造成他人损害，被侵权人请求父母共同承担侵权责任的，人民法院依照民法典第二十七条第一款、第一千零六十八条以及第一千一百八十八条的规定予以支持。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第八条</w:t>
      </w:r>
      <w:r w:rsidRPr="004C533B">
        <w:rPr>
          <w:rFonts w:ascii="微软雅黑" w:eastAsia="微软雅黑" w:hAnsi="微软雅黑" w:cs="仿宋_GB2312" w:hint="eastAsia"/>
          <w:sz w:val="24"/>
        </w:rPr>
        <w:t xml:space="preserve">　夫妻离婚后，未成年子女造成他人损害，被侵权人请求离异夫妻共同承担侵权责任的，人民法院依照民法典第一千零六十八条、第一千零八十四条以及第一千一百八十八条的规定予以支持。一方以未与该子女共同生活为由主张不承担或者</w:t>
      </w:r>
      <w:proofErr w:type="gramStart"/>
      <w:r w:rsidRPr="004C533B">
        <w:rPr>
          <w:rFonts w:ascii="微软雅黑" w:eastAsia="微软雅黑" w:hAnsi="微软雅黑" w:cs="仿宋_GB2312" w:hint="eastAsia"/>
          <w:sz w:val="24"/>
        </w:rPr>
        <w:t>少承担</w:t>
      </w:r>
      <w:proofErr w:type="gramEnd"/>
      <w:r w:rsidRPr="004C533B">
        <w:rPr>
          <w:rFonts w:ascii="微软雅黑" w:eastAsia="微软雅黑" w:hAnsi="微软雅黑" w:cs="仿宋_GB2312" w:hint="eastAsia"/>
          <w:sz w:val="24"/>
        </w:rPr>
        <w:t>责任的，人民法院不予支持。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离异夫妻之间的责任份额，可以由双方协议确定；协议不成的，人民法院可以根据双方履行监护职责的约定和实际履行情况</w:t>
      </w:r>
      <w:r w:rsidRPr="004C533B">
        <w:rPr>
          <w:rFonts w:ascii="微软雅黑" w:eastAsia="微软雅黑" w:hAnsi="微软雅黑" w:cs="仿宋_GB2312" w:hint="eastAsia"/>
          <w:sz w:val="24"/>
        </w:rPr>
        <w:t>等确定。实际承担责任超过自己责任份额的</w:t>
      </w:r>
      <w:proofErr w:type="gramStart"/>
      <w:r w:rsidRPr="004C533B">
        <w:rPr>
          <w:rFonts w:ascii="微软雅黑" w:eastAsia="微软雅黑" w:hAnsi="微软雅黑" w:cs="仿宋_GB2312" w:hint="eastAsia"/>
          <w:sz w:val="24"/>
        </w:rPr>
        <w:t>一</w:t>
      </w:r>
      <w:proofErr w:type="gramEnd"/>
      <w:r w:rsidRPr="004C533B">
        <w:rPr>
          <w:rFonts w:ascii="微软雅黑" w:eastAsia="微软雅黑" w:hAnsi="微软雅黑" w:cs="仿宋_GB2312" w:hint="eastAsia"/>
          <w:sz w:val="24"/>
        </w:rPr>
        <w:t>方向另一方追偿的，人民法院应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w:t>
      </w:r>
    </w:p>
    <w:p w:rsidR="00055ECE"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第九条</w:t>
      </w:r>
      <w:r w:rsidRPr="004C533B">
        <w:rPr>
          <w:rFonts w:ascii="微软雅黑" w:eastAsia="微软雅黑" w:hAnsi="微软雅黑" w:cs="仿宋_GB2312" w:hint="eastAsia"/>
          <w:sz w:val="24"/>
        </w:rPr>
        <w:t xml:space="preserve">　未成年子女造成他人损害的，依照民法典第一千零七十二条第二款的规定，未与该子女形成抚养教育关系的继父或者继母不承担监护人的侵权责任，由该子女的生父母依照本解释第八条的规定承担侵权责任。</w:t>
      </w:r>
    </w:p>
    <w:p w:rsidR="004C533B" w:rsidRPr="004C533B" w:rsidRDefault="004C533B" w:rsidP="004C533B">
      <w:pPr>
        <w:spacing w:line="340" w:lineRule="exact"/>
        <w:ind w:firstLineChars="200" w:firstLine="472"/>
        <w:rPr>
          <w:rFonts w:ascii="微软雅黑" w:eastAsia="微软雅黑" w:hAnsi="微软雅黑" w:cs="仿宋_GB2312" w:hint="eastAsia"/>
          <w:sz w:val="24"/>
        </w:rPr>
      </w:pP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lastRenderedPageBreak/>
        <w:t>第十条</w:t>
      </w:r>
      <w:r w:rsidRPr="004C533B">
        <w:rPr>
          <w:rFonts w:ascii="微软雅黑" w:eastAsia="微软雅黑" w:hAnsi="微软雅黑" w:cs="仿宋_GB2312" w:hint="eastAsia"/>
          <w:sz w:val="24"/>
        </w:rPr>
        <w:t xml:space="preserve">　无民事行为能力人、限制民事行为能力人造成他人损害，被侵权人合并请求监护人和受托履行监护职责的人承担侵权责任的，依照民法典第一千一百八十九条的规定，监护人承担侵权人应承担的全部责任；受托人在过错范围内与监护人共同承担责任，但责任主体实际</w:t>
      </w:r>
      <w:r w:rsidRPr="004C533B">
        <w:rPr>
          <w:rFonts w:ascii="微软雅黑" w:eastAsia="微软雅黑" w:hAnsi="微软雅黑" w:cs="仿宋_GB2312" w:hint="eastAsia"/>
          <w:sz w:val="24"/>
        </w:rPr>
        <w:t>支付的赔偿费用总和不应超出被侵权人应受偿的损失数额。</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监护人承担责任后向受托人追偿的，人民法院可以参照民法典第九百二十九条的规定处理。</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仅有一般过失的无偿受托人承担责任后向监护人追偿的，人民法院应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第十一条</w:t>
      </w:r>
      <w:r w:rsidRPr="004C533B">
        <w:rPr>
          <w:rFonts w:ascii="微软雅黑" w:eastAsia="微软雅黑" w:hAnsi="微软雅黑" w:cs="仿宋_GB2312" w:hint="eastAsia"/>
          <w:sz w:val="24"/>
        </w:rPr>
        <w:t xml:space="preserve">　教唆、帮助无民事行为能力人、限制民事行为能力人实施侵权行为，教唆人、帮助人以其不知道且不应当知道行为人为无民事行为能力人、限制民事行为能力人为由，主张不承担侵权责任或者与行为人的监护人承担连带责任的，人民法院不予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第十二条</w:t>
      </w:r>
      <w:r w:rsidRPr="004C533B">
        <w:rPr>
          <w:rFonts w:ascii="微软雅黑" w:eastAsia="微软雅黑" w:hAnsi="微软雅黑" w:cs="仿宋_GB2312" w:hint="eastAsia"/>
          <w:sz w:val="24"/>
        </w:rPr>
        <w:t xml:space="preserve">　教唆、帮助无民事行为能力人、限制民事行为能力人实施侵权行为，被侵权人合并请求教唆人、帮助人以及监护人承担侵权责任的，依照民法典第一千一百六十九条第二款的规定，教唆人、帮助人承担侵权人应承担的全部责任；监护人在未尽到监护职责的范围内与教唆人、帮助人共同承担责任，但责任主体实际支付的</w:t>
      </w:r>
      <w:r w:rsidRPr="004C533B">
        <w:rPr>
          <w:rFonts w:ascii="微软雅黑" w:eastAsia="微软雅黑" w:hAnsi="微软雅黑" w:cs="仿宋_GB2312" w:hint="eastAsia"/>
          <w:sz w:val="24"/>
        </w:rPr>
        <w:t>赔偿费用总和不应超出被侵权人应受偿的损失数额。</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监护人先行支付赔偿费用后，就超过自己相应责任的部分向教唆人、帮助人追偿的，人民法院应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第十三条</w:t>
      </w:r>
      <w:r w:rsidRPr="004C533B">
        <w:rPr>
          <w:rFonts w:ascii="微软雅黑" w:eastAsia="微软雅黑" w:hAnsi="微软雅黑" w:cs="仿宋_GB2312" w:hint="eastAsia"/>
          <w:sz w:val="24"/>
        </w:rPr>
        <w:t xml:space="preserve">　教唆、帮助无民事行为能力人、限制民事行为能力人实施侵权行为，被侵权人合并请求教唆人、帮助人与监护人以及受托履行监护职责的人承担侵权责任的，依照本解释第十条、第十二条的规定认定民事责任。</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第十四条</w:t>
      </w:r>
      <w:r w:rsidRPr="004C533B">
        <w:rPr>
          <w:rFonts w:ascii="微软雅黑" w:eastAsia="微软雅黑" w:hAnsi="微软雅黑" w:cs="仿宋_GB2312" w:hint="eastAsia"/>
          <w:sz w:val="24"/>
        </w:rPr>
        <w:t xml:space="preserve">　无民事行为能力人或者限制民事行为能力人在幼儿园、学校或者其他教育机构学习、生活期间，受到教育机构以外的第三人人身损害，第三人、教育机构作为共同被告且依法应承担侵权责</w:t>
      </w:r>
      <w:r w:rsidRPr="004C533B">
        <w:rPr>
          <w:rFonts w:ascii="微软雅黑" w:eastAsia="微软雅黑" w:hAnsi="微软雅黑" w:cs="仿宋_GB2312" w:hint="eastAsia"/>
          <w:sz w:val="24"/>
        </w:rPr>
        <w:t>任的，人民法院应当在判决中明确，教育机构在人民法院就第三人的财产依法强制执行后仍不能履行的范围内，承担与其过错相应的补充责任。</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被侵权人仅起诉教育机构的，人民法院应当向原告释明申请追加实施侵权行为的第三人为共同被告。</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第三人不确定的，未尽到管理职责的教育机构先行承担与其过错相应的责任；教育机构承担责任后向已经确定的第三人追偿的，人民法院依照民法典第一千二百零一条的规定予以支持。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第十五条</w:t>
      </w:r>
      <w:r w:rsidRPr="004C533B">
        <w:rPr>
          <w:rFonts w:ascii="微软雅黑" w:eastAsia="微软雅黑" w:hAnsi="微软雅黑" w:cs="仿宋_GB2312" w:hint="eastAsia"/>
          <w:sz w:val="24"/>
        </w:rPr>
        <w:t xml:space="preserve">　与用人单位形成劳动关系的工作人员、执行用人单位工作任务的其他人员，因执行工作任务造成他人损害，被侵权人依照民法典第一千一</w:t>
      </w:r>
      <w:r w:rsidRPr="004C533B">
        <w:rPr>
          <w:rFonts w:ascii="微软雅黑" w:eastAsia="微软雅黑" w:hAnsi="微软雅黑" w:cs="仿宋_GB2312" w:hint="eastAsia"/>
          <w:sz w:val="24"/>
        </w:rPr>
        <w:t>百九十一条第一款的规定，请求用人单位承担侵权责任的，人民法院应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个体工商户的从业人员因执行工作任务造成他人损害的，适用民法典第一千一百九十一条第一款的规定认定民事责任。</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第十六条</w:t>
      </w:r>
      <w:r w:rsidRPr="004C533B">
        <w:rPr>
          <w:rFonts w:ascii="微软雅黑" w:eastAsia="微软雅黑" w:hAnsi="微软雅黑" w:cs="仿宋_GB2312" w:hint="eastAsia"/>
          <w:sz w:val="24"/>
        </w:rPr>
        <w:t xml:space="preserve">　劳务派遣期间，被派遣的工作人员因执行工作任务造成他人损害，被侵权人合并请求劳务派遣单位与接受劳务派遣的用工单位承担侵权责任的，依照民法典第一千一百九十一条第二款的规定，接受劳务派遣的用工单位承担侵权人应承担的全部责任；劳务派遣单位在不当选派工作人员、未依法履行培训义务等过错范围内，与接受劳务派遣的用工单位共同承担责任，但责</w:t>
      </w:r>
      <w:r w:rsidRPr="004C533B">
        <w:rPr>
          <w:rFonts w:ascii="微软雅黑" w:eastAsia="微软雅黑" w:hAnsi="微软雅黑" w:cs="仿宋_GB2312" w:hint="eastAsia"/>
          <w:sz w:val="24"/>
        </w:rPr>
        <w:t>任主体实际支付的赔偿费用总和不应超出被侵权人应受偿的损失数额。</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劳务派遣单位先行支付赔偿费用后，就超过自己相应责任的部分向接受劳务派遣的用工单位追偿的，人民法院应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持，但双方另有约定的除外。</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第十七条</w:t>
      </w:r>
      <w:r w:rsidRPr="004C533B">
        <w:rPr>
          <w:rFonts w:ascii="微软雅黑" w:eastAsia="微软雅黑" w:hAnsi="微软雅黑" w:cs="仿宋_GB2312" w:hint="eastAsia"/>
          <w:sz w:val="24"/>
        </w:rPr>
        <w:t xml:space="preserve">　工作人员在执行工作任务中实施的违法行为造成他人损害，构成自然人犯罪的，工作人员承担刑事责任不影响用人单位依法承担民事责任。依照民法典第一千一百九十一条规定用人单位应当承担侵权责任的，在刑事案件中已完成的追缴、退赔可以在民事判决书中明确并扣减，也可以在执行程序中予以扣减。</w:t>
      </w:r>
    </w:p>
    <w:p w:rsidR="00055ECE"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第十八条</w:t>
      </w:r>
      <w:r w:rsidRPr="004C533B">
        <w:rPr>
          <w:rFonts w:ascii="微软雅黑" w:eastAsia="微软雅黑" w:hAnsi="微软雅黑" w:cs="仿宋_GB2312" w:hint="eastAsia"/>
          <w:sz w:val="24"/>
        </w:rPr>
        <w:t xml:space="preserve">　承揽人在完成工作过程中造成</w:t>
      </w:r>
      <w:r w:rsidRPr="004C533B">
        <w:rPr>
          <w:rFonts w:ascii="微软雅黑" w:eastAsia="微软雅黑" w:hAnsi="微软雅黑" w:cs="仿宋_GB2312" w:hint="eastAsia"/>
          <w:sz w:val="24"/>
        </w:rPr>
        <w:t>第三人损害的，人民法院依照民法典第一千一百六十五条的规定认定承揽人的民事责任。</w:t>
      </w:r>
    </w:p>
    <w:p w:rsidR="004C533B" w:rsidRPr="004C533B" w:rsidRDefault="004C533B" w:rsidP="004C533B">
      <w:pPr>
        <w:spacing w:line="340" w:lineRule="exact"/>
        <w:ind w:firstLineChars="200" w:firstLine="472"/>
        <w:rPr>
          <w:rFonts w:ascii="微软雅黑" w:eastAsia="微软雅黑" w:hAnsi="微软雅黑" w:cs="仿宋_GB2312" w:hint="eastAsia"/>
          <w:sz w:val="24"/>
        </w:rPr>
      </w:pP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lastRenderedPageBreak/>
        <w:t>被侵权人合并请求</w:t>
      </w:r>
      <w:proofErr w:type="gramStart"/>
      <w:r w:rsidRPr="004C533B">
        <w:rPr>
          <w:rFonts w:ascii="微软雅黑" w:eastAsia="微软雅黑" w:hAnsi="微软雅黑" w:cs="仿宋_GB2312" w:hint="eastAsia"/>
          <w:sz w:val="24"/>
        </w:rPr>
        <w:t>定作</w:t>
      </w:r>
      <w:proofErr w:type="gramEnd"/>
      <w:r w:rsidRPr="004C533B">
        <w:rPr>
          <w:rFonts w:ascii="微软雅黑" w:eastAsia="微软雅黑" w:hAnsi="微软雅黑" w:cs="仿宋_GB2312" w:hint="eastAsia"/>
          <w:sz w:val="24"/>
        </w:rPr>
        <w:t>人和承揽人承担侵权责任的，依照民法典第一千一百六十五条、第一千一百九十三条的规定，造成损害的承揽人承担侵权人应承担的全部责任；</w:t>
      </w:r>
      <w:proofErr w:type="gramStart"/>
      <w:r w:rsidRPr="004C533B">
        <w:rPr>
          <w:rFonts w:ascii="微软雅黑" w:eastAsia="微软雅黑" w:hAnsi="微软雅黑" w:cs="仿宋_GB2312" w:hint="eastAsia"/>
          <w:sz w:val="24"/>
        </w:rPr>
        <w:t>定作</w:t>
      </w:r>
      <w:proofErr w:type="gramEnd"/>
      <w:r w:rsidRPr="004C533B">
        <w:rPr>
          <w:rFonts w:ascii="微软雅黑" w:eastAsia="微软雅黑" w:hAnsi="微软雅黑" w:cs="仿宋_GB2312" w:hint="eastAsia"/>
          <w:sz w:val="24"/>
        </w:rPr>
        <w:t>人在</w:t>
      </w:r>
      <w:proofErr w:type="gramStart"/>
      <w:r w:rsidRPr="004C533B">
        <w:rPr>
          <w:rFonts w:ascii="微软雅黑" w:eastAsia="微软雅黑" w:hAnsi="微软雅黑" w:cs="仿宋_GB2312" w:hint="eastAsia"/>
          <w:sz w:val="24"/>
        </w:rPr>
        <w:t>定作</w:t>
      </w:r>
      <w:proofErr w:type="gramEnd"/>
      <w:r w:rsidRPr="004C533B">
        <w:rPr>
          <w:rFonts w:ascii="微软雅黑" w:eastAsia="微软雅黑" w:hAnsi="微软雅黑" w:cs="仿宋_GB2312" w:hint="eastAsia"/>
          <w:sz w:val="24"/>
        </w:rPr>
        <w:t>、指示或者选任过错范围内与承揽人共同承担责任，但责任主体实际支付的赔偿费用总和不应超出被侵权人应受偿的损失数额。</w:t>
      </w:r>
    </w:p>
    <w:p w:rsidR="00055ECE" w:rsidRPr="004C533B" w:rsidRDefault="00801545" w:rsidP="004C533B">
      <w:pPr>
        <w:spacing w:line="340" w:lineRule="exact"/>
        <w:ind w:firstLineChars="200" w:firstLine="472"/>
        <w:rPr>
          <w:rFonts w:ascii="微软雅黑" w:eastAsia="微软雅黑" w:hAnsi="微软雅黑" w:cs="仿宋_GB2312"/>
          <w:sz w:val="24"/>
        </w:rPr>
      </w:pPr>
      <w:proofErr w:type="gramStart"/>
      <w:r w:rsidRPr="004C533B">
        <w:rPr>
          <w:rFonts w:ascii="微软雅黑" w:eastAsia="微软雅黑" w:hAnsi="微软雅黑" w:cs="仿宋_GB2312" w:hint="eastAsia"/>
          <w:sz w:val="24"/>
        </w:rPr>
        <w:t>定作</w:t>
      </w:r>
      <w:proofErr w:type="gramEnd"/>
      <w:r w:rsidRPr="004C533B">
        <w:rPr>
          <w:rFonts w:ascii="微软雅黑" w:eastAsia="微软雅黑" w:hAnsi="微软雅黑" w:cs="仿宋_GB2312" w:hint="eastAsia"/>
          <w:sz w:val="24"/>
        </w:rPr>
        <w:t>人先行支付赔偿费用后，就超过自己相应责任的部分向承揽人追偿的，人民法院应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持，但双方另有约定的除外。</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第十九条</w:t>
      </w:r>
      <w:r w:rsidRPr="004C533B">
        <w:rPr>
          <w:rFonts w:ascii="微软雅黑" w:eastAsia="微软雅黑" w:hAnsi="微软雅黑" w:cs="仿宋_GB2312" w:hint="eastAsia"/>
          <w:sz w:val="24"/>
        </w:rPr>
        <w:t xml:space="preserve">　因产品存在缺陷造成买受人财产损害，买受人请</w:t>
      </w:r>
      <w:r w:rsidRPr="004C533B">
        <w:rPr>
          <w:rFonts w:ascii="微软雅黑" w:eastAsia="微软雅黑" w:hAnsi="微软雅黑" w:cs="仿宋_GB2312" w:hint="eastAsia"/>
          <w:sz w:val="24"/>
        </w:rPr>
        <w:t>求产品的生产者或者销售者赔偿缺陷产品本身损害以及其他财产损害的，人民法院依照民法典第一千二百零二条、第一千二百零三条的规定予以支持。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第二十条</w:t>
      </w:r>
      <w:r w:rsidRPr="004C533B">
        <w:rPr>
          <w:rFonts w:ascii="微软雅黑" w:eastAsia="微软雅黑" w:hAnsi="微软雅黑" w:cs="仿宋_GB2312" w:hint="eastAsia"/>
          <w:sz w:val="24"/>
        </w:rPr>
        <w:t xml:space="preserve">　以买卖或者其他方式转让拼装或者已经达到报废标准的机动车，发生交通事故造成损害，转让人、受让人以其不知道且不应当知道该机动车系拼装或者已经达到报废标准为由，主张不承担侵权责任的，人民法院不予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第二十一条</w:t>
      </w:r>
      <w:r w:rsidRPr="004C533B">
        <w:rPr>
          <w:rFonts w:ascii="微软雅黑" w:eastAsia="微软雅黑" w:hAnsi="微软雅黑" w:cs="仿宋_GB2312" w:hint="eastAsia"/>
          <w:sz w:val="24"/>
        </w:rPr>
        <w:t xml:space="preserve">　未依法投保强制保险的机动车发生交通事故造成损害，投保义务人和交通事故责任人不是同一人，被侵权人合并请求投保义务人和交通事故责任人承担侵权责任的，交通事故责任人承</w:t>
      </w:r>
      <w:r w:rsidRPr="004C533B">
        <w:rPr>
          <w:rFonts w:ascii="微软雅黑" w:eastAsia="微软雅黑" w:hAnsi="微软雅黑" w:cs="仿宋_GB2312" w:hint="eastAsia"/>
          <w:sz w:val="24"/>
        </w:rPr>
        <w:t>担侵权人应承担的全部责任；投保义务人在机动车强制保险责任限额范围内与交通事故责任人共同承担责任，但责任主体实际支付的赔偿费用总和不应超出被侵权人应受偿的损失数额。</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投保义务人先行支付赔偿费用后，就超出机动车强制保险责任限额范围部分向交通事故责任人追偿的，人民法院应</w:t>
      </w:r>
      <w:proofErr w:type="gramStart"/>
      <w:r w:rsidRPr="004C533B">
        <w:rPr>
          <w:rFonts w:ascii="微软雅黑" w:eastAsia="微软雅黑" w:hAnsi="微软雅黑" w:cs="仿宋_GB2312" w:hint="eastAsia"/>
          <w:sz w:val="24"/>
        </w:rPr>
        <w:t>予支</w:t>
      </w:r>
      <w:proofErr w:type="gramEnd"/>
      <w:r w:rsidRPr="004C533B">
        <w:rPr>
          <w:rFonts w:ascii="微软雅黑" w:eastAsia="微软雅黑" w:hAnsi="微软雅黑" w:cs="仿宋_GB2312" w:hint="eastAsia"/>
          <w:sz w:val="24"/>
        </w:rPr>
        <w:t>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第二十二条</w:t>
      </w:r>
      <w:r w:rsidRPr="004C533B">
        <w:rPr>
          <w:rFonts w:ascii="微软雅黑" w:eastAsia="微软雅黑" w:hAnsi="微软雅黑" w:cs="仿宋_GB2312" w:hint="eastAsia"/>
          <w:sz w:val="24"/>
        </w:rPr>
        <w:t xml:space="preserve">　机动车驾驶人离开本车后，因未采取制动措施等自身过错受到本车碰撞、碾压造成损害，机动车驾驶人请求承保本车机动车强制保险的保险人在强制保险责任限额范围内，以及承保本车机动车商业第三者责任保险的保险人按照保险合同的约定赔偿的，人民法</w:t>
      </w:r>
      <w:r w:rsidRPr="004C533B">
        <w:rPr>
          <w:rFonts w:ascii="微软雅黑" w:eastAsia="微软雅黑" w:hAnsi="微软雅黑" w:cs="仿宋_GB2312" w:hint="eastAsia"/>
          <w:sz w:val="24"/>
        </w:rPr>
        <w:t>院不予支持，但可以依据机动车车上人员责任保险的有关约定支持相应的赔偿请求。</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第二十三条</w:t>
      </w:r>
      <w:r w:rsidRPr="004C533B">
        <w:rPr>
          <w:rFonts w:ascii="微软雅黑" w:eastAsia="微软雅黑" w:hAnsi="微软雅黑" w:cs="仿宋_GB2312" w:hint="eastAsia"/>
          <w:sz w:val="24"/>
        </w:rPr>
        <w:t xml:space="preserve">　禁止饲养的烈性犬等危险动物造成他人损害，动物饲养人或者管理人主张不承担责任或者减轻责任的，人民法院不予支持。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第二十四条</w:t>
      </w:r>
      <w:r w:rsidRPr="004C533B">
        <w:rPr>
          <w:rFonts w:ascii="微软雅黑" w:eastAsia="微软雅黑" w:hAnsi="微软雅黑" w:cs="仿宋_GB2312" w:hint="eastAsia"/>
          <w:sz w:val="24"/>
        </w:rPr>
        <w:t xml:space="preserve">　物业服务企业等建筑物管理人未采取必要的安全保障措施防止从建筑物中抛掷物品或者从建筑物上坠落的物品造成他人损害，具体侵权人、物业服务企业等建筑物管理人作为共同被告的，人民法院应当依照民法典第一千一百九十八条第二款、第一千二百五十四条的规定，在判决中明确，未采取必要安全保障措施的物业服务企业等建筑物管理人</w:t>
      </w:r>
      <w:r w:rsidRPr="004C533B">
        <w:rPr>
          <w:rFonts w:ascii="微软雅黑" w:eastAsia="微软雅黑" w:hAnsi="微软雅黑" w:cs="仿宋_GB2312" w:hint="eastAsia"/>
          <w:sz w:val="24"/>
        </w:rPr>
        <w:t>在人民法院就具体侵权人的财产依法强制执行后仍不能履行的范围内，承担与其过错相应的补充责任。</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第二十五条</w:t>
      </w:r>
      <w:r w:rsidRPr="004C533B">
        <w:rPr>
          <w:rFonts w:ascii="微软雅黑" w:eastAsia="微软雅黑" w:hAnsi="微软雅黑" w:cs="仿宋_GB2312" w:hint="eastAsia"/>
          <w:sz w:val="24"/>
        </w:rPr>
        <w:t xml:space="preserve">　物业服务企业等建筑物管理人未采取必要的安全保障措施防止从建筑物中抛掷物品或者从建筑物上坠落的物品造成他人损害，经公安等机关调查，在民事案件一审法庭辩论终结前仍难以确定具体侵权人的，未采取必要安全保障措施的物业服务企业等建筑物管理人承担与其过错相应的责任。被侵权人其余部分的损害，</w:t>
      </w:r>
      <w:proofErr w:type="gramStart"/>
      <w:r w:rsidRPr="004C533B">
        <w:rPr>
          <w:rFonts w:ascii="微软雅黑" w:eastAsia="微软雅黑" w:hAnsi="微软雅黑" w:cs="仿宋_GB2312" w:hint="eastAsia"/>
          <w:sz w:val="24"/>
        </w:rPr>
        <w:t>由可能</w:t>
      </w:r>
      <w:proofErr w:type="gramEnd"/>
      <w:r w:rsidRPr="004C533B">
        <w:rPr>
          <w:rFonts w:ascii="微软雅黑" w:eastAsia="微软雅黑" w:hAnsi="微软雅黑" w:cs="仿宋_GB2312" w:hint="eastAsia"/>
          <w:sz w:val="24"/>
        </w:rPr>
        <w:t>加害的建筑物使用人给予适当补偿。</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具体侵权人确定后，已经承担责任的物业服务企业等建筑物管理人、可能加害的建筑物使用人向具体侵</w:t>
      </w:r>
      <w:r w:rsidRPr="004C533B">
        <w:rPr>
          <w:rFonts w:ascii="微软雅黑" w:eastAsia="微软雅黑" w:hAnsi="微软雅黑" w:cs="仿宋_GB2312" w:hint="eastAsia"/>
          <w:sz w:val="24"/>
        </w:rPr>
        <w:t>权人追偿的，人民法院依照民法典第一千一百九十八条第二款、第一千二百五十四条第一款的规定予以支持。</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0573B9">
        <w:rPr>
          <w:rFonts w:ascii="微软雅黑" w:eastAsia="微软雅黑" w:hAnsi="微软雅黑" w:cs="黑体" w:hint="eastAsia"/>
          <w:b/>
          <w:bCs/>
          <w:sz w:val="24"/>
        </w:rPr>
        <w:t>第二十六条</w:t>
      </w:r>
      <w:r w:rsidRPr="004C533B">
        <w:rPr>
          <w:rFonts w:ascii="微软雅黑" w:eastAsia="微软雅黑" w:hAnsi="微软雅黑" w:cs="仿宋_GB2312" w:hint="eastAsia"/>
          <w:sz w:val="24"/>
        </w:rPr>
        <w:t xml:space="preserve">　本</w:t>
      </w:r>
      <w:proofErr w:type="gramStart"/>
      <w:r w:rsidRPr="004C533B">
        <w:rPr>
          <w:rFonts w:ascii="微软雅黑" w:eastAsia="微软雅黑" w:hAnsi="微软雅黑" w:cs="仿宋_GB2312" w:hint="eastAsia"/>
          <w:sz w:val="24"/>
        </w:rPr>
        <w:t>解释自</w:t>
      </w:r>
      <w:proofErr w:type="gramEnd"/>
      <w:r w:rsidRPr="004C533B">
        <w:rPr>
          <w:rFonts w:ascii="微软雅黑" w:eastAsia="微软雅黑" w:hAnsi="微软雅黑" w:cs="仿宋_GB2312" w:hint="eastAsia"/>
          <w:sz w:val="24"/>
        </w:rPr>
        <w:t>2024</w:t>
      </w:r>
      <w:r w:rsidRPr="004C533B">
        <w:rPr>
          <w:rFonts w:ascii="微软雅黑" w:eastAsia="微软雅黑" w:hAnsi="微软雅黑" w:cs="仿宋_GB2312" w:hint="eastAsia"/>
          <w:sz w:val="24"/>
        </w:rPr>
        <w:t>年</w:t>
      </w:r>
      <w:r w:rsidRPr="004C533B">
        <w:rPr>
          <w:rFonts w:ascii="微软雅黑" w:eastAsia="微软雅黑" w:hAnsi="微软雅黑" w:cs="仿宋_GB2312" w:hint="eastAsia"/>
          <w:sz w:val="24"/>
        </w:rPr>
        <w:t>9</w:t>
      </w:r>
      <w:r w:rsidRPr="004C533B">
        <w:rPr>
          <w:rFonts w:ascii="微软雅黑" w:eastAsia="微软雅黑" w:hAnsi="微软雅黑" w:cs="仿宋_GB2312" w:hint="eastAsia"/>
          <w:sz w:val="24"/>
        </w:rPr>
        <w:t>月</w:t>
      </w:r>
      <w:r w:rsidRPr="004C533B">
        <w:rPr>
          <w:rFonts w:ascii="微软雅黑" w:eastAsia="微软雅黑" w:hAnsi="微软雅黑" w:cs="仿宋_GB2312" w:hint="eastAsia"/>
          <w:sz w:val="24"/>
        </w:rPr>
        <w:t>27</w:t>
      </w:r>
      <w:r w:rsidRPr="004C533B">
        <w:rPr>
          <w:rFonts w:ascii="微软雅黑" w:eastAsia="微软雅黑" w:hAnsi="微软雅黑" w:cs="仿宋_GB2312" w:hint="eastAsia"/>
          <w:sz w:val="24"/>
        </w:rPr>
        <w:t>日起施行。</w:t>
      </w:r>
    </w:p>
    <w:p w:rsidR="00055ECE" w:rsidRPr="004C533B" w:rsidRDefault="00801545" w:rsidP="004C533B">
      <w:pPr>
        <w:spacing w:line="340" w:lineRule="exact"/>
        <w:ind w:firstLineChars="200" w:firstLine="472"/>
        <w:rPr>
          <w:rFonts w:ascii="微软雅黑" w:eastAsia="微软雅黑" w:hAnsi="微软雅黑" w:cs="仿宋_GB2312"/>
          <w:sz w:val="24"/>
        </w:rPr>
      </w:pPr>
      <w:r w:rsidRPr="004C533B">
        <w:rPr>
          <w:rFonts w:ascii="微软雅黑" w:eastAsia="微软雅黑" w:hAnsi="微软雅黑" w:cs="仿宋_GB2312" w:hint="eastAsia"/>
          <w:sz w:val="24"/>
        </w:rPr>
        <w:t>本解释施行后，人民法院尚未审结的一审、二审案件适用本解释。本解释施行前已经终审，当事人申请再审或者按照审判监督程序决定再审的，适用当时的法律、司法解释规定。</w:t>
      </w:r>
    </w:p>
    <w:sectPr w:rsidR="00055ECE" w:rsidRPr="004C533B" w:rsidSect="004C533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545" w:rsidRDefault="00801545">
      <w:r>
        <w:separator/>
      </w:r>
    </w:p>
  </w:endnote>
  <w:endnote w:type="continuationSeparator" w:id="0">
    <w:p w:rsidR="00801545" w:rsidRDefault="0080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ECE" w:rsidRDefault="00801545">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ECE" w:rsidRDefault="00801545">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545" w:rsidRDefault="00801545">
      <w:r>
        <w:separator/>
      </w:r>
    </w:p>
  </w:footnote>
  <w:footnote w:type="continuationSeparator" w:id="0">
    <w:p w:rsidR="00801545" w:rsidRDefault="00801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0E703F"/>
    <w:rsid w:val="00005CBA"/>
    <w:rsid w:val="00055ECE"/>
    <w:rsid w:val="000573B9"/>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C533B"/>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01545"/>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90448"/>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BB8734F"/>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BFD17"/>
  <w15:docId w15:val="{3E7AE1C0-B61A-43CB-8147-0B8663BA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625</Words>
  <Characters>3569</Characters>
  <Application>Microsoft Office Word</Application>
  <DocSecurity>0</DocSecurity>
  <Lines>29</Lines>
  <Paragraphs>8</Paragraphs>
  <ScaleCrop>false</ScaleCrop>
  <Company>Microsoft</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C9418A247B814331ADB31163F89017D6_13</vt:lpwstr>
  </property>
  <property fmtid="{D5CDD505-2E9C-101B-9397-08002B2CF9AE}" pid="3" name="KSOProductBuildVer">
    <vt:lpwstr>2052-12.1.0.15990</vt:lpwstr>
  </property>
</Properties>
</file>